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bookmarkStart w:colFirst="0" w:colLast="0" w:name="_heading=h.jzrayjan2k64" w:id="0"/>
      <w:bookmarkEnd w:id="0"/>
      <w:r w:rsidDel="00000000" w:rsidR="00000000" w:rsidRPr="00000000">
        <w:rPr>
          <w:b w:val="1"/>
          <w:bCs w:val="1"/>
          <w:rtl w:val="0"/>
        </w:rPr>
        <w:t xml:space="preserve">Роздатковий матеріал 21A.1- Картки з термінами та визначеннями СЕН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Надрукуйте наведені нижче картки з термінами на одній стороні та визначеннями на звороті. Виріжте картки так, щоб учасник міг зачитувати визначення вголос. </w:t>
      </w:r>
    </w:p>
    <w:p w:rsidR="00000000" w:rsidDel="00000000" w:rsidP="00000000" w:rsidRDefault="00000000" w:rsidRPr="00000000" w14:paraId="000000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Виберіть сторінки з 2 по 5 і роздрукуйте лицьовою і зворотною сторонами або на двох сторонах.</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Після друку переконайтеся, що терміни на передній стороні відповідають визначенням на звороті. </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Виріжте картки по лініях на стороні з визначеннями, щоб уникнути обрізання слів.</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bl>
      <w:tblPr>
        <w:tblStyle w:val="Table1"/>
        <w:tblW w:w="936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292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center"/>
              <w:rPr>
                <w:b w:val="1"/>
                <w:bCs w:val="1"/>
                <w:sz w:val="36"/>
                <w:szCs w:val="36"/>
              </w:rPr>
            </w:pPr>
            <w:r w:rsidDel="00000000" w:rsidR="00000000" w:rsidRPr="00000000">
              <w:rPr>
                <w:b w:val="1"/>
                <w:bCs w:val="1"/>
                <w:sz w:val="60"/>
                <w:szCs w:val="60"/>
                <w:rtl w:val="0"/>
              </w:rPr>
              <w:t xml:space="preserve">ГЗН</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jc w:val="center"/>
              <w:rPr>
                <w:b w:val="1"/>
                <w:bCs w:val="1"/>
                <w:sz w:val="60"/>
                <w:szCs w:val="60"/>
              </w:rPr>
            </w:pPr>
            <w:r w:rsidDel="00000000" w:rsidR="00000000" w:rsidRPr="00000000">
              <w:rPr>
                <w:b w:val="1"/>
                <w:bCs w:val="1"/>
                <w:sz w:val="60"/>
                <w:szCs w:val="60"/>
                <w:rtl w:val="0"/>
              </w:rPr>
              <w:t xml:space="preserve">Сексуальна експлуатація</w:t>
            </w:r>
          </w:p>
        </w:tc>
      </w:tr>
      <w:tr>
        <w:trPr>
          <w:cantSplit w:val="0"/>
          <w:trHeight w:val="295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center"/>
              <w:rPr>
                <w:b w:val="1"/>
                <w:bCs w:val="1"/>
                <w:sz w:val="36"/>
                <w:szCs w:val="36"/>
              </w:rPr>
            </w:pPr>
            <w:r w:rsidDel="00000000" w:rsidR="00000000" w:rsidRPr="00000000">
              <w:rPr>
                <w:b w:val="1"/>
                <w:bCs w:val="1"/>
                <w:sz w:val="60"/>
                <w:szCs w:val="60"/>
                <w:rtl w:val="0"/>
              </w:rPr>
              <w:t xml:space="preserve">Сексуальна наруга</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jc w:val="center"/>
              <w:rPr>
                <w:b w:val="1"/>
                <w:bCs w:val="1"/>
                <w:sz w:val="60"/>
                <w:szCs w:val="60"/>
              </w:rPr>
            </w:pPr>
            <w:r w:rsidDel="00000000" w:rsidR="00000000" w:rsidRPr="00000000">
              <w:rPr>
                <w:b w:val="1"/>
                <w:bCs w:val="1"/>
                <w:sz w:val="60"/>
                <w:szCs w:val="60"/>
                <w:rtl w:val="0"/>
              </w:rPr>
              <w:t xml:space="preserve">Сексуальні домагання</w:t>
            </w:r>
          </w:p>
        </w:tc>
      </w:tr>
    </w:tbl>
    <w:p w:rsidR="00000000" w:rsidDel="00000000" w:rsidP="00000000" w:rsidRDefault="00000000" w:rsidRPr="00000000" w14:paraId="0000000D">
      <w:pPr>
        <w:rPr/>
      </w:pPr>
      <w:r w:rsidDel="00000000" w:rsidR="00000000" w:rsidRPr="00000000">
        <w:br w:type="page"/>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bl>
      <w:tblPr>
        <w:tblStyle w:val="Table2"/>
        <w:tblW w:w="9881.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4961"/>
        <w:tblGridChange w:id="0">
          <w:tblGrid>
            <w:gridCol w:w="4920"/>
            <w:gridCol w:w="4961"/>
          </w:tblGrid>
        </w:tblGridChange>
      </w:tblGrid>
      <w:tr>
        <w:trPr>
          <w:cantSplit w:val="0"/>
          <w:trHeight w:val="29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41" w:right="0" w:hanging="341"/>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Сексуальна експлуатація (СЕ)</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це </w:t>
            </w:r>
            <w:r w:rsidDel="00000000" w:rsidR="00000000" w:rsidRPr="00000000">
              <w:rPr>
                <w:sz w:val="24"/>
                <w:szCs w:val="24"/>
                <w:rtl w:val="0"/>
              </w:rPr>
              <w:t xml:space="preserve">будь-яке фактичне зловживання або спроба зловживання з боку надавача(ки) допомоги вразливим становищем, владою чи довірою в сексуальних цілях, включаючи, але не обмежуючись, отримання грошової, соціальної чи політичної вигоди від сексуальної експлуатації іншої особи.</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numPr>
                <w:ilvl w:val="0"/>
                <w:numId w:val="1"/>
              </w:numPr>
              <w:spacing w:line="240" w:lineRule="auto"/>
              <w:ind w:left="270" w:hanging="270"/>
              <w:rPr>
                <w:b w:val="1"/>
                <w:bCs w:val="1"/>
                <w:sz w:val="24"/>
                <w:szCs w:val="24"/>
              </w:rPr>
            </w:pPr>
            <w:r w:rsidDel="00000000" w:rsidR="00000000" w:rsidRPr="00000000">
              <w:rPr>
                <w:b w:val="1"/>
                <w:bCs w:val="1"/>
                <w:sz w:val="24"/>
                <w:szCs w:val="24"/>
                <w:rtl w:val="0"/>
              </w:rPr>
              <w:t xml:space="preserve">Гендерно зумовлене насильство (ГЗН) </w:t>
            </w:r>
            <w:r w:rsidDel="00000000" w:rsidR="00000000" w:rsidRPr="00000000">
              <w:rPr>
                <w:sz w:val="24"/>
                <w:szCs w:val="24"/>
                <w:rtl w:val="0"/>
              </w:rPr>
              <w:t xml:space="preserve">– це загальний термін для позначення будь-якої шкідливої дії, яка вчиняється проти волі людини і ґрунтується на соціально зумовлених (гендерних) відмінностях між чоловіками та жінками. ГЗН включає дії, що завдають фізичної, сексуальної чи психічної шкоди або страждань, погрози вчинення таких дій, примус та інші види позбавлення свободи. Ці дії можуть відбуватися публічно або </w:t>
            </w:r>
          </w:p>
        </w:tc>
      </w:tr>
      <w:tr>
        <w:trPr>
          <w:cantSplit w:val="0"/>
          <w:trHeight w:val="29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Сексуальн</w:t>
            </w:r>
            <w:r w:rsidDel="00000000" w:rsidR="00000000" w:rsidRPr="00000000">
              <w:rPr>
                <w:b w:val="1"/>
                <w:bCs w:val="1"/>
                <w:sz w:val="24"/>
                <w:szCs w:val="24"/>
                <w:rtl w:val="0"/>
              </w:rPr>
              <w:t xml:space="preserve">е</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домагання (СД)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Будь-які небажані слова, сексуальні або фізичні дії чи жести сексуального характеру в робочому середовищі, які вчиняє гуманітарний(на) працівник(ця) щодо іншого/іншої гуманітарного(ої) працівника(ці). Сексуальні домагання можуть включати сексуальний напад,  у тому числі спроби сексуального нападу, спроби зґвалтування та зґвалтування.</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Сексуальна наруга (СН)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це </w:t>
            </w:r>
            <w:r w:rsidDel="00000000" w:rsidR="00000000" w:rsidRPr="00000000">
              <w:rPr>
                <w:sz w:val="24"/>
                <w:szCs w:val="24"/>
                <w:rtl w:val="0"/>
              </w:rPr>
              <w:t xml:space="preserve">Фактична дія або загроза вчинення фізичної дії сексуального характеру з боку надачава(ки) допомоги, здійснена із застосуванням примусу або за нерівних умов.</w:t>
            </w:r>
            <w:r w:rsidDel="00000000" w:rsidR="00000000" w:rsidRPr="00000000">
              <w:rPr>
                <w:rtl w:val="0"/>
              </w:rPr>
            </w:r>
          </w:p>
        </w:tc>
      </w:tr>
    </w:tbl>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3"/>
        <w:tblW w:w="936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289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jc w:val="center"/>
              <w:rPr>
                <w:b w:val="1"/>
                <w:bCs w:val="1"/>
                <w:sz w:val="36"/>
                <w:szCs w:val="36"/>
              </w:rPr>
            </w:pPr>
            <w:r w:rsidDel="00000000" w:rsidR="00000000" w:rsidRPr="00000000">
              <w:rPr>
                <w:b w:val="1"/>
                <w:bCs w:val="1"/>
                <w:sz w:val="60"/>
                <w:szCs w:val="60"/>
                <w:rtl w:val="0"/>
              </w:rPr>
              <w:t xml:space="preserve">Секс-робота</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jc w:val="center"/>
              <w:rPr>
                <w:b w:val="1"/>
                <w:bCs w:val="1"/>
                <w:sz w:val="60"/>
                <w:szCs w:val="60"/>
              </w:rPr>
            </w:pPr>
            <w:r w:rsidDel="00000000" w:rsidR="00000000" w:rsidRPr="00000000">
              <w:rPr>
                <w:b w:val="1"/>
                <w:bCs w:val="1"/>
                <w:sz w:val="60"/>
                <w:szCs w:val="60"/>
                <w:rtl w:val="0"/>
              </w:rPr>
              <w:t xml:space="preserve">Транзакційний секс</w:t>
            </w:r>
          </w:p>
        </w:tc>
      </w:tr>
      <w:tr>
        <w:trPr>
          <w:cantSplit w:val="0"/>
          <w:trHeight w:val="289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jc w:val="center"/>
              <w:rPr>
                <w:b w:val="1"/>
                <w:bCs w:val="1"/>
                <w:sz w:val="36"/>
                <w:szCs w:val="36"/>
              </w:rPr>
            </w:pPr>
            <w:r w:rsidDel="00000000" w:rsidR="00000000" w:rsidRPr="00000000">
              <w:rPr>
                <w:b w:val="1"/>
                <w:bCs w:val="1"/>
                <w:sz w:val="60"/>
                <w:szCs w:val="60"/>
                <w:rtl w:val="0"/>
              </w:rPr>
              <w:t xml:space="preserve">ЗСЕН</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jc w:val="center"/>
              <w:rPr>
                <w:sz w:val="60"/>
                <w:szCs w:val="60"/>
              </w:rPr>
            </w:pPr>
            <w:r w:rsidDel="00000000" w:rsidR="00000000" w:rsidRPr="00000000">
              <w:rPr>
                <w:b w:val="1"/>
                <w:bCs w:val="1"/>
                <w:sz w:val="60"/>
                <w:szCs w:val="60"/>
                <w:rtl w:val="0"/>
              </w:rPr>
              <w:t xml:space="preserve">Убезпечення</w:t>
            </w:r>
            <w:r w:rsidDel="00000000" w:rsidR="00000000" w:rsidRPr="00000000">
              <w:rPr>
                <w:rtl w:val="0"/>
              </w:rPr>
            </w:r>
          </w:p>
        </w:tc>
      </w:tr>
    </w:tbl>
    <w:p w:rsidR="00000000" w:rsidDel="00000000" w:rsidP="00000000" w:rsidRDefault="00000000" w:rsidRPr="00000000" w14:paraId="0000001A">
      <w:pPr>
        <w:rPr/>
      </w:pPr>
      <w:r w:rsidDel="00000000" w:rsidR="00000000" w:rsidRPr="00000000">
        <w:br w:type="page"/>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tbl>
      <w:tblPr>
        <w:tblStyle w:val="Table4"/>
        <w:tblW w:w="9881.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62"/>
        <w:gridCol w:w="4819"/>
        <w:tblGridChange w:id="0">
          <w:tblGrid>
            <w:gridCol w:w="5062"/>
            <w:gridCol w:w="4819"/>
          </w:tblGrid>
        </w:tblGridChange>
      </w:tblGrid>
      <w:tr>
        <w:trPr>
          <w:cantSplit w:val="0"/>
          <w:trHeight w:val="28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ind w:left="251" w:hanging="251"/>
              <w:rPr>
                <w:b w:val="1"/>
                <w:bCs w:val="1"/>
                <w:sz w:val="24"/>
                <w:szCs w:val="24"/>
              </w:rPr>
            </w:pPr>
            <w:r w:rsidDel="00000000" w:rsidR="00000000" w:rsidRPr="00000000">
              <w:rPr>
                <w:b w:val="1"/>
                <w:bCs w:val="1"/>
                <w:sz w:val="24"/>
                <w:szCs w:val="24"/>
                <w:rtl w:val="0"/>
              </w:rPr>
              <w:t xml:space="preserve">6. Транзакційний секс</w:t>
            </w:r>
            <w:r w:rsidDel="00000000" w:rsidR="00000000" w:rsidRPr="00000000">
              <w:rPr>
                <w:sz w:val="24"/>
                <w:szCs w:val="24"/>
                <w:rtl w:val="0"/>
              </w:rPr>
              <w:t xml:space="preserve"> – це позашлюбні, некомерційні сексуальні стосунки, мотивовані неявним припущенням, що секс буде обміняно на матеріальну підтримку чи інші вигоди. Транзакційний секс відображає пряму потребу в матеріальній підтримці, економічно домінуючу позицію чоловіків та доступ до ресурсів, труднощі жінок у забезпеченні базових потреб, а також культурну цінність, що надається чоловікам, які мають кількох сексуальних партнерок.</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ind w:left="247" w:hanging="247"/>
              <w:rPr>
                <w:b w:val="1"/>
                <w:bCs w:val="1"/>
                <w:sz w:val="24"/>
                <w:szCs w:val="24"/>
              </w:rPr>
            </w:pPr>
            <w:r w:rsidDel="00000000" w:rsidR="00000000" w:rsidRPr="00000000">
              <w:rPr>
                <w:b w:val="1"/>
                <w:bCs w:val="1"/>
                <w:sz w:val="24"/>
                <w:szCs w:val="24"/>
                <w:rtl w:val="0"/>
              </w:rPr>
              <w:t xml:space="preserve">5. Сексуальний працівник</w:t>
            </w:r>
            <w:r w:rsidDel="00000000" w:rsidR="00000000" w:rsidRPr="00000000">
              <w:rPr>
                <w:sz w:val="24"/>
                <w:szCs w:val="24"/>
                <w:rtl w:val="0"/>
              </w:rPr>
              <w:t xml:space="preserve"> може бути як жінкою, так і чоловіком, включаючи трансгендерних дорослих осіб та молодь (старше 18 років), які отримують гроші або товари в обмін на сексуальні послуги, як на постійній, так і на тимчасовій основі. Секс-робота може різнитися за ступенем її «формальності» або «організованості».</w:t>
            </w:r>
            <w:r w:rsidDel="00000000" w:rsidR="00000000" w:rsidRPr="00000000">
              <w:rPr>
                <w:rtl w:val="0"/>
              </w:rPr>
            </w:r>
          </w:p>
        </w:tc>
      </w:tr>
      <w:tr>
        <w:trPr>
          <w:cantSplit w:val="0"/>
          <w:trHeight w:val="172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ind w:left="251" w:hanging="251"/>
              <w:rPr>
                <w:b w:val="1"/>
                <w:bCs w:val="1"/>
                <w:sz w:val="24"/>
                <w:szCs w:val="24"/>
              </w:rPr>
            </w:pPr>
            <w:r w:rsidDel="00000000" w:rsidR="00000000" w:rsidRPr="00000000">
              <w:rPr>
                <w:b w:val="1"/>
                <w:bCs w:val="1"/>
                <w:sz w:val="24"/>
                <w:szCs w:val="24"/>
                <w:rtl w:val="0"/>
              </w:rPr>
              <w:t xml:space="preserve">8. Убезпечення</w:t>
            </w:r>
            <w:r w:rsidDel="00000000" w:rsidR="00000000" w:rsidRPr="00000000">
              <w:rPr>
                <w:rFonts w:ascii="Calibri" w:cs="Calibri" w:eastAsia="Calibri" w:hAnsi="Calibri"/>
                <w:sz w:val="24"/>
                <w:szCs w:val="24"/>
                <w:highlight w:val="white"/>
                <w:rtl w:val="0"/>
              </w:rPr>
              <w:t xml:space="preserve"> </w:t>
            </w:r>
            <w:r w:rsidDel="00000000" w:rsidR="00000000" w:rsidRPr="00000000">
              <w:rPr>
                <w:sz w:val="24"/>
                <w:szCs w:val="24"/>
                <w:rtl w:val="0"/>
              </w:rPr>
              <w:t xml:space="preserve">означає відповідальність організацій за те, щоб їхній персонал, операції та програми не завдавали шкоди дітям та вразливим дорослим, а також щоб вони не піддавали їх ризику шкоди та насильства.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47" w:right="0" w:hanging="247"/>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ЗСЕН</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означає заходи, спрямовані на захист вразливих осіб від сексуальної експлуатації та на</w:t>
            </w:r>
            <w:r w:rsidDel="00000000" w:rsidR="00000000" w:rsidRPr="00000000">
              <w:rPr>
                <w:sz w:val="24"/>
                <w:szCs w:val="24"/>
                <w:rtl w:val="0"/>
              </w:rPr>
              <w:t xml:space="preserve">руги</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з боку </w:t>
            </w:r>
            <w:r w:rsidDel="00000000" w:rsidR="00000000" w:rsidRPr="00000000">
              <w:rPr>
                <w:sz w:val="24"/>
                <w:szCs w:val="24"/>
                <w:rtl w:val="0"/>
              </w:rPr>
              <w:t xml:space="preserve">власного персоналу та всіх осіб, пов’язаних з імплементацією програмної діяльності організації.</w:t>
            </w: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sectPr>
      <w:pgSz w:h="16840" w:w="11907" w:orient="portrait"/>
      <w:pgMar w:bottom="1134" w:top="1134" w:left="1418"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5" w:customStyle="1">
    <w:basedOn w:val="a1"/>
    <w:rsid w:val="00DF4F8D"/>
    <w:tblPr>
      <w:tblStyleRowBandSize w:val="1"/>
      <w:tblStyleColBandSize w:val="1"/>
      <w:tblInd w:w="0.0" w:type="dxa"/>
      <w:tblCellMar>
        <w:top w:w="100.0" w:type="dxa"/>
        <w:left w:w="100.0" w:type="dxa"/>
        <w:bottom w:w="100.0" w:type="dxa"/>
        <w:right w:w="100.0" w:type="dxa"/>
      </w:tblCellMar>
    </w:tblPr>
  </w:style>
  <w:style w:type="table" w:styleId="a6" w:customStyle="1">
    <w:basedOn w:val="a1"/>
    <w:rsid w:val="00DF4F8D"/>
    <w:tblPr>
      <w:tblStyleRowBandSize w:val="1"/>
      <w:tblStyleColBandSize w:val="1"/>
      <w:tblInd w:w="0.0" w:type="dxa"/>
      <w:tblCellMar>
        <w:top w:w="100.0" w:type="dxa"/>
        <w:left w:w="100.0" w:type="dxa"/>
        <w:bottom w:w="100.0" w:type="dxa"/>
        <w:right w:w="100.0" w:type="dxa"/>
      </w:tblCellMar>
    </w:tblPr>
  </w:style>
  <w:style w:type="paragraph" w:styleId="a7">
    <w:name w:val="List Paragraph"/>
    <w:basedOn w:val="a"/>
    <w:uiPriority w:val="34"/>
    <w:qFormat w:val="1"/>
    <w:rsid w:val="006E7D2B"/>
    <w:pPr>
      <w:ind w:left="720"/>
      <w:contextualSpacing w:val="1"/>
    </w:pPr>
  </w:style>
  <w:style w:type="character" w:styleId="a8">
    <w:name w:val="Strong"/>
    <w:basedOn w:val="a0"/>
    <w:uiPriority w:val="22"/>
    <w:qFormat w:val="1"/>
    <w:rsid w:val="00B248E2"/>
    <w:rPr>
      <w:b w:val="1"/>
      <w:bCs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jGS2N+rcrPyG5pMqdgbvoLhADw==">CgMxLjAyDmguanpyYXlqYW4yazY0OAByITF6eTRwQWZ5b1MtODgzMnRIQnoyd1RiekVyQ1JUOXpsYw==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2025-03-20T06:03:00Z</dcterms:created>
  <dc:creator>Любонько Ольга</dc:creator>
</cp:coreProperties>
</file>