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Роздатковий матеріал 21B.5 – Рекомендації щодо управління випадками ГЗН для процесу розслідування СЕН</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i w:val="1"/>
          <w:iCs w:val="1"/>
        </w:rPr>
      </w:pPr>
      <w:r w:rsidDel="00000000" w:rsidR="00000000" w:rsidRPr="00000000">
        <w:rPr>
          <w:b w:val="1"/>
          <w:bCs w:val="1"/>
          <w:u w:val="single"/>
          <w:rtl w:val="0"/>
        </w:rPr>
        <w:t xml:space="preserve">Для координатора:</w:t>
      </w:r>
      <w:r w:rsidDel="00000000" w:rsidR="00000000" w:rsidRPr="00000000">
        <w:rPr>
          <w:b w:val="1"/>
          <w:bCs w:val="1"/>
          <w:rtl w:val="0"/>
        </w:rPr>
        <w:t xml:space="preserve"> </w:t>
      </w:r>
      <w:r w:rsidDel="00000000" w:rsidR="00000000" w:rsidRPr="00000000">
        <w:rPr>
          <w:b w:val="1"/>
          <w:bCs w:val="1"/>
          <w:i w:val="1"/>
          <w:iCs w:val="1"/>
          <w:rtl w:val="0"/>
        </w:rPr>
        <w:t xml:space="preserve">Ця перша сторінка призначена для вас як довідник. Частину інформації потрібно буде роздрукувати окремо (по одній роздрукованій копії на кожну сторінку інформації для сторінок 2-8). Кожну частину інформації слід роздати одному учаснику, щоб він прочитав її і прикріпив на стіні в навчальній кімнаті.</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Нижченаведена інформація від організації, що проводить розслідування, корисна для того, щоб працівник, який займається випадками ГЗН, міг якомога швидше поділитися нею з постраждалою особою та/або повідомити її про те, що ви надаєте підтримку у ГЗН кейс-менеджменті:</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Пояснення всього процесу, включаючи часові рамки для кожного етапу.</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Чи ви або ваш керівник можете супроводжувати постраждалу особу на етапах попереднього розгляду та встановлення фактів. Зверніть увагу, що постраждалі мають право попросити організацію, яка проводить розслідування, надати їм підтримку та бути поруч – це може бути підтримку з боку члена сім’ї, або ж  працівника, який веде випадки ГЗН.</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Чи Ви або хтось інший можете супроводжувати постраждалу особу протягом усього процесу, щоб переконатися, що її найкращі інтереси дотримані.</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Стать та контактні дані призначеного слідчого, якщо це відомо.</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Чи призначено контактну особу для зв'язку протягом усього процесу.</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Послуги з підтримки СЕН, які можна отримати в цій організації або деінде, наприклад, допомога з переїздом постраждалої особи та інші заходи безпеки та захисту.</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sectPr>
          <w:pgSz w:h="15840" w:w="12240" w:orient="portrait"/>
          <w:pgMar w:bottom="1134" w:top="1134" w:left="1418" w:right="851" w:header="720" w:footer="720"/>
          <w:pgNumType w:start="1"/>
        </w:sectPr>
      </w:pPr>
      <w:r w:rsidDel="00000000" w:rsidR="00000000" w:rsidRPr="00000000">
        <w:rPr>
          <w:rtl w:val="0"/>
        </w:rPr>
        <w:t xml:space="preserve">Право постраждалої особи припинити участь у процесі розслідування за власним бажанням, а також її право продовжувати отримувати послуги незалежно від участі в процесі розслідування.</w:t>
      </w:r>
    </w:p>
    <w:p w:rsidR="00000000" w:rsidDel="00000000" w:rsidP="00000000" w:rsidRDefault="00000000" w:rsidRPr="00000000" w14:paraId="00000014">
      <w:pPr>
        <w:rPr>
          <w:b w:val="1"/>
          <w:bCs w:val="1"/>
          <w:sz w:val="120"/>
          <w:szCs w:val="120"/>
        </w:rPr>
      </w:pPr>
      <w:r w:rsidDel="00000000" w:rsidR="00000000" w:rsidRPr="00000000">
        <w:rPr>
          <w:b w:val="1"/>
          <w:bCs w:val="1"/>
          <w:sz w:val="120"/>
          <w:szCs w:val="120"/>
          <w:rtl w:val="0"/>
        </w:rPr>
        <w:t xml:space="preserve">Пояснення всього процесу, включаючи часові рамки для кожного етапу.</w:t>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b w:val="1"/>
          <w:bCs w:val="1"/>
          <w:sz w:val="76"/>
          <w:szCs w:val="76"/>
        </w:rPr>
      </w:pPr>
      <w:r w:rsidDel="00000000" w:rsidR="00000000" w:rsidRPr="00000000">
        <w:rPr>
          <w:b w:val="1"/>
          <w:bCs w:val="1"/>
          <w:sz w:val="68"/>
          <w:szCs w:val="68"/>
          <w:rtl w:val="0"/>
        </w:rPr>
        <w:t xml:space="preserve">Якщо ви або ваш супервізор можете супроводжувати постраждалу особу на етапах попереднього розгляду та встановлення фактів. Зверніть увагу, що постраждалі мають право попросити організацію, яка проводить розслідування, надати їм підтримку – члена сім'ї або навіть працівника, який займається ГЗН кейс-менеджментом.</w:t>
      </w:r>
      <w:r w:rsidDel="00000000" w:rsidR="00000000" w:rsidRPr="00000000">
        <w:rPr>
          <w:rtl w:val="0"/>
        </w:rPr>
      </w:r>
    </w:p>
    <w:p w:rsidR="00000000" w:rsidDel="00000000" w:rsidP="00000000" w:rsidRDefault="00000000" w:rsidRPr="00000000" w14:paraId="00000017">
      <w:pPr>
        <w:rPr>
          <w:b w:val="1"/>
          <w:bCs w:val="1"/>
          <w:sz w:val="96"/>
          <w:szCs w:val="96"/>
        </w:rPr>
      </w:pPr>
      <w:r w:rsidDel="00000000" w:rsidR="00000000" w:rsidRPr="00000000">
        <w:rPr>
          <w:b w:val="1"/>
          <w:bCs w:val="1"/>
          <w:sz w:val="96"/>
          <w:szCs w:val="96"/>
          <w:rtl w:val="0"/>
        </w:rPr>
        <w:t xml:space="preserve">Якщо Ви або хтось інший можете супроводжувати постраждалу особу протягом усього процесу, щоб переконатися, що її найкращі інтереси дотримані.</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sz w:val="106"/>
          <w:szCs w:val="106"/>
        </w:rPr>
      </w:pPr>
      <w:r w:rsidDel="00000000" w:rsidR="00000000" w:rsidRPr="00000000">
        <w:rPr>
          <w:b w:val="1"/>
          <w:bCs w:val="1"/>
          <w:sz w:val="106"/>
          <w:szCs w:val="106"/>
          <w:rtl w:val="0"/>
        </w:rPr>
        <w:t xml:space="preserve">Стать та контактні дані призначеного слідчого/слідчої групи, якщо такі є.</w:t>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rPr>
          <w:b w:val="1"/>
          <w:bCs w:val="1"/>
          <w:sz w:val="120"/>
          <w:szCs w:val="120"/>
        </w:rPr>
      </w:pPr>
      <w:r w:rsidDel="00000000" w:rsidR="00000000" w:rsidRPr="00000000">
        <w:rPr>
          <w:b w:val="1"/>
          <w:bCs w:val="1"/>
          <w:sz w:val="120"/>
          <w:szCs w:val="120"/>
          <w:rtl w:val="0"/>
        </w:rPr>
        <w:t xml:space="preserve">Якщо призначено контактну особу для зв'язку протягом усього процесу.</w:t>
      </w:r>
    </w:p>
    <w:p w:rsidR="00000000" w:rsidDel="00000000" w:rsidP="00000000" w:rsidRDefault="00000000" w:rsidRPr="00000000" w14:paraId="0000001C">
      <w:pPr>
        <w:rPr/>
      </w:pPr>
      <w:r w:rsidDel="00000000" w:rsidR="00000000" w:rsidRPr="00000000">
        <w:br w:type="page"/>
      </w:r>
      <w:r w:rsidDel="00000000" w:rsidR="00000000" w:rsidRPr="00000000">
        <w:rPr>
          <w:rtl w:val="0"/>
        </w:rPr>
      </w:r>
    </w:p>
    <w:p w:rsidR="00000000" w:rsidDel="00000000" w:rsidP="00000000" w:rsidRDefault="00000000" w:rsidRPr="00000000" w14:paraId="0000001D">
      <w:pPr>
        <w:rPr>
          <w:b w:val="1"/>
          <w:bCs w:val="1"/>
          <w:sz w:val="100"/>
          <w:szCs w:val="100"/>
        </w:rPr>
      </w:pPr>
      <w:bookmarkStart w:colFirst="0" w:colLast="0" w:name="_heading=h.s2y3cdquadvd" w:id="0"/>
      <w:bookmarkEnd w:id="0"/>
      <w:r w:rsidDel="00000000" w:rsidR="00000000" w:rsidRPr="00000000">
        <w:rPr>
          <w:b w:val="1"/>
          <w:bCs w:val="1"/>
          <w:sz w:val="100"/>
          <w:szCs w:val="100"/>
          <w:rtl w:val="0"/>
        </w:rPr>
        <w:t xml:space="preserve">Послуги з підтримки СЕН, які можна отримати в цій організації або деінде, наприклад допомога з переїздом постраждалої особи та інші заходи безпеки та захисту.</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bCs w:val="1"/>
          <w:sz w:val="86"/>
          <w:szCs w:val="86"/>
        </w:rPr>
      </w:pPr>
      <w:r w:rsidDel="00000000" w:rsidR="00000000" w:rsidRPr="00000000">
        <w:rPr>
          <w:b w:val="1"/>
          <w:bCs w:val="1"/>
          <w:sz w:val="86"/>
          <w:szCs w:val="86"/>
          <w:rtl w:val="0"/>
        </w:rPr>
        <w:t xml:space="preserve">Право постраждалої особи припинити участь у процесі розслідування за власним бажанням, а також її право продовжувати отримувати послуги незалежно від участі в процесі розслідування.</w:t>
      </w:r>
    </w:p>
    <w:p w:rsidR="00000000" w:rsidDel="00000000" w:rsidP="00000000" w:rsidRDefault="00000000" w:rsidRPr="00000000" w14:paraId="00000020">
      <w:pPr>
        <w:rPr/>
      </w:pPr>
      <w:r w:rsidDel="00000000" w:rsidR="00000000" w:rsidRPr="00000000">
        <w:rPr>
          <w:rtl w:val="0"/>
        </w:rPr>
      </w:r>
    </w:p>
    <w:sectPr>
      <w:type w:val="nextPage"/>
      <w:pgSz w:h="12240" w:w="15840" w:orient="landscape"/>
      <w:pgMar w:bottom="851" w:top="1418" w:left="1134"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cGOLNGOGeEf2ziYQgGa+a12IA==">CgMxLjAyDmguczJ5M2NkcXVhZHZkOAByITFEQjJjUmZZbmxETjdLeHVxN3pTTjRTM3Q2RFc4U2pCUg==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2025-03-20T07:44:00Z</dcterms:created>
  <dc:creator>Любонько Ольга</dc:creator>
</cp:coreProperties>
</file>