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1"/>
        </w:rPr>
        <w:t xml:space="preserve">الورقة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التدريبية</w:t>
      </w:r>
      <w:r w:rsidDel="00000000" w:rsidR="00000000" w:rsidRPr="00000000">
        <w:rPr>
          <w:sz w:val="28"/>
          <w:szCs w:val="28"/>
          <w:rtl w:val="1"/>
        </w:rPr>
        <w:t xml:space="preserve"> 21</w:t>
      </w:r>
      <w:r w:rsidDel="00000000" w:rsidR="00000000" w:rsidRPr="00000000">
        <w:rPr>
          <w:sz w:val="28"/>
          <w:szCs w:val="28"/>
          <w:rtl w:val="0"/>
        </w:rPr>
        <w:t xml:space="preserve">B</w:t>
      </w:r>
      <w:r w:rsidDel="00000000" w:rsidR="00000000" w:rsidRPr="00000000">
        <w:rPr>
          <w:sz w:val="28"/>
          <w:szCs w:val="28"/>
          <w:rtl w:val="1"/>
        </w:rPr>
        <w:t xml:space="preserve">.5 - </w:t>
      </w:r>
      <w:r w:rsidDel="00000000" w:rsidR="00000000" w:rsidRPr="00000000">
        <w:rPr>
          <w:sz w:val="28"/>
          <w:szCs w:val="28"/>
          <w:rtl w:val="1"/>
        </w:rPr>
        <w:t xml:space="preserve">اعتبارات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يتعلق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بالتحقيقات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بحوادث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الاستغلال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الجنسي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الجنسي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u w:val="single"/>
          <w:rtl w:val="1"/>
        </w:rPr>
        <w:t xml:space="preserve">للميسر</w:t>
      </w: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sz w:val="28"/>
          <w:szCs w:val="28"/>
          <w:rtl w:val="1"/>
        </w:rPr>
        <w:t xml:space="preserve">: </w:t>
      </w:r>
      <w:r w:rsidDel="00000000" w:rsidR="00000000" w:rsidRPr="00000000">
        <w:rPr>
          <w:i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الصفحة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هي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بمثابة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دليل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لك</w:t>
      </w:r>
      <w:r w:rsidDel="00000000" w:rsidR="00000000" w:rsidRPr="00000000">
        <w:rPr>
          <w:i w:val="1"/>
          <w:sz w:val="28"/>
          <w:szCs w:val="28"/>
          <w:rtl w:val="1"/>
        </w:rPr>
        <w:t xml:space="preserve">. </w:t>
      </w:r>
      <w:r w:rsidDel="00000000" w:rsidR="00000000" w:rsidRPr="00000000">
        <w:rPr>
          <w:i w:val="1"/>
          <w:sz w:val="28"/>
          <w:szCs w:val="28"/>
          <w:rtl w:val="1"/>
        </w:rPr>
        <w:t xml:space="preserve">يجب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طباعة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بشكل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منفصل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ومشاركة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كل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واحدة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منها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مع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مشارك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واحد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لقراءتها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وتعليقها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الحائط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في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غرفة</w:t>
      </w:r>
      <w:r w:rsidDel="00000000" w:rsidR="00000000" w:rsidRPr="00000000">
        <w:rPr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i w:val="1"/>
          <w:sz w:val="28"/>
          <w:szCs w:val="28"/>
          <w:rtl w:val="1"/>
        </w:rPr>
        <w:t xml:space="preserve">التدريب</w:t>
      </w:r>
      <w:r w:rsidDel="00000000" w:rsidR="00000000" w:rsidRPr="00000000">
        <w:rPr>
          <w:i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تفيدك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المعلومات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بصفتك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تشاركها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أقرب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بإبلاغ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إدارة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تقدمه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برمتها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الإطار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الزمني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both"/>
        <w:rPr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ترافق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مشرفك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أثناء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المراجعة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ومراحل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تقصي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الحقائق</w:t>
      </w:r>
      <w:r w:rsidDel="00000000" w:rsidR="00000000" w:rsidRPr="00000000">
        <w:rPr>
          <w:sz w:val="28"/>
          <w:szCs w:val="28"/>
          <w:rtl w:val="1"/>
        </w:rPr>
        <w:t xml:space="preserve">. </w:t>
      </w:r>
      <w:r w:rsidDel="00000000" w:rsidR="00000000" w:rsidRPr="00000000">
        <w:rPr>
          <w:sz w:val="28"/>
          <w:szCs w:val="28"/>
          <w:rtl w:val="1"/>
        </w:rPr>
        <w:t xml:space="preserve">لاحظ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للناجيات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يطلبن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داعم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أفراد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للعنف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القائم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شخص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قادرين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مرافقة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بأكملها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لضمان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احترام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مصالحها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الفضلى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جنس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وتفاصيل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الاتصال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للمحقق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فريق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توفرها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تنسيق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طوال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خدمات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الدعم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المتوفرة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لحالات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الاستغلال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الجنسي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والاعتداء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الجنسي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آخر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المساعدة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لمكان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آخر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وغيرها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تدابير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والسلامة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الناجية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التحقيق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اختارت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مواصلة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تلقي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الخدمات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بغض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مشاركتها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عملية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التحقيق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both"/>
        <w:rPr>
          <w:sz w:val="160"/>
          <w:szCs w:val="160"/>
        </w:rPr>
      </w:pPr>
      <w:r w:rsidDel="00000000" w:rsidR="00000000" w:rsidRPr="00000000">
        <w:rPr>
          <w:sz w:val="160"/>
          <w:szCs w:val="160"/>
          <w:rtl w:val="1"/>
        </w:rPr>
        <w:t xml:space="preserve">شرح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للعملية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برمتها</w:t>
      </w:r>
      <w:r w:rsidDel="00000000" w:rsidR="00000000" w:rsidRPr="00000000">
        <w:rPr>
          <w:sz w:val="160"/>
          <w:szCs w:val="160"/>
          <w:rtl w:val="1"/>
        </w:rPr>
        <w:t xml:space="preserve">، </w:t>
      </w:r>
      <w:r w:rsidDel="00000000" w:rsidR="00000000" w:rsidRPr="00000000">
        <w:rPr>
          <w:sz w:val="160"/>
          <w:szCs w:val="160"/>
          <w:rtl w:val="1"/>
        </w:rPr>
        <w:t xml:space="preserve">بما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في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ذلك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الإطار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الزمني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لكل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مرحلة</w:t>
      </w:r>
      <w:r w:rsidDel="00000000" w:rsidR="00000000" w:rsidRPr="00000000">
        <w:rPr>
          <w:sz w:val="160"/>
          <w:szCs w:val="160"/>
          <w:rtl w:val="1"/>
        </w:rPr>
        <w:t xml:space="preserve">.</w:t>
      </w:r>
    </w:p>
    <w:p w:rsidR="00000000" w:rsidDel="00000000" w:rsidP="00000000" w:rsidRDefault="00000000" w:rsidRPr="00000000" w14:paraId="00000017">
      <w:pPr>
        <w:rPr>
          <w:sz w:val="160"/>
          <w:szCs w:val="1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1"/>
        </w:rPr>
        <w:t xml:space="preserve">إذا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كان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بالإمكان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ترافق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أنت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أو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مشرفك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الناجية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أثناء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المراجعة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الأولية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ومراحل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تقصي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الحقائق</w:t>
      </w:r>
      <w:r w:rsidDel="00000000" w:rsidR="00000000" w:rsidRPr="00000000">
        <w:rPr>
          <w:sz w:val="72"/>
          <w:szCs w:val="72"/>
          <w:rtl w:val="1"/>
        </w:rPr>
        <w:t xml:space="preserve">. </w:t>
      </w:r>
      <w:r w:rsidDel="00000000" w:rsidR="00000000" w:rsidRPr="00000000">
        <w:rPr>
          <w:sz w:val="72"/>
          <w:szCs w:val="72"/>
          <w:rtl w:val="1"/>
        </w:rPr>
        <w:t xml:space="preserve">لاحظ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أنه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يحق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للناجيات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يطلبن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من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المنظمة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التي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تقوم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بالتحقيق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وجود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شخص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داعم</w:t>
      </w:r>
      <w:r w:rsidDel="00000000" w:rsidR="00000000" w:rsidRPr="00000000">
        <w:rPr>
          <w:sz w:val="72"/>
          <w:szCs w:val="72"/>
          <w:rtl w:val="1"/>
        </w:rPr>
        <w:t xml:space="preserve">، </w:t>
      </w:r>
      <w:r w:rsidDel="00000000" w:rsidR="00000000" w:rsidRPr="00000000">
        <w:rPr>
          <w:sz w:val="72"/>
          <w:szCs w:val="72"/>
          <w:rtl w:val="1"/>
        </w:rPr>
        <w:t xml:space="preserve">قد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يكون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أحد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أفراد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الأسرة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أو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مديرة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الحالة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للعنف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القائم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على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النوع</w:t>
      </w:r>
      <w:r w:rsidDel="00000000" w:rsidR="00000000" w:rsidRPr="00000000">
        <w:rPr>
          <w:sz w:val="72"/>
          <w:szCs w:val="72"/>
          <w:rtl w:val="1"/>
        </w:rPr>
        <w:t xml:space="preserve"> </w:t>
      </w:r>
      <w:r w:rsidDel="00000000" w:rsidR="00000000" w:rsidRPr="00000000">
        <w:rPr>
          <w:sz w:val="72"/>
          <w:szCs w:val="72"/>
          <w:rtl w:val="1"/>
        </w:rPr>
        <w:t xml:space="preserve">الاجتماعي</w:t>
      </w:r>
      <w:r w:rsidDel="00000000" w:rsidR="00000000" w:rsidRPr="00000000">
        <w:rPr>
          <w:sz w:val="72"/>
          <w:szCs w:val="72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jc w:val="both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72"/>
          <w:szCs w:val="7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both"/>
        <w:rPr>
          <w:sz w:val="72"/>
          <w:szCs w:val="72"/>
        </w:rPr>
      </w:pPr>
      <w:r w:rsidDel="00000000" w:rsidR="00000000" w:rsidRPr="00000000">
        <w:rPr>
          <w:sz w:val="96"/>
          <w:szCs w:val="96"/>
          <w:rtl w:val="1"/>
        </w:rPr>
        <w:t xml:space="preserve">إذا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كنت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أنت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أو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شخص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آخر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قادرين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على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مرافقة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الناجية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طوال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العملية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بأكملها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لضمان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يتم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احترام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مصالحها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الفضلى</w:t>
      </w:r>
      <w:r w:rsidDel="00000000" w:rsidR="00000000" w:rsidRPr="00000000">
        <w:rPr>
          <w:sz w:val="96"/>
          <w:szCs w:val="9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sz w:val="72"/>
          <w:szCs w:val="7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sz w:val="72"/>
          <w:szCs w:val="72"/>
        </w:rPr>
      </w:pPr>
      <w:r w:rsidDel="00000000" w:rsidR="00000000" w:rsidRPr="00000000">
        <w:rPr>
          <w:sz w:val="160"/>
          <w:szCs w:val="160"/>
          <w:rtl w:val="1"/>
        </w:rPr>
        <w:t xml:space="preserve">جنس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وتفاصيل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الاتصال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للمحقق</w:t>
      </w:r>
      <w:r w:rsidDel="00000000" w:rsidR="00000000" w:rsidRPr="00000000">
        <w:rPr>
          <w:sz w:val="160"/>
          <w:szCs w:val="160"/>
          <w:rtl w:val="1"/>
        </w:rPr>
        <w:t xml:space="preserve">/</w:t>
      </w:r>
      <w:r w:rsidDel="00000000" w:rsidR="00000000" w:rsidRPr="00000000">
        <w:rPr>
          <w:sz w:val="160"/>
          <w:szCs w:val="160"/>
          <w:rtl w:val="1"/>
        </w:rPr>
        <w:t xml:space="preserve">فريق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التحقيق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المعين</w:t>
      </w:r>
      <w:r w:rsidDel="00000000" w:rsidR="00000000" w:rsidRPr="00000000">
        <w:rPr>
          <w:sz w:val="160"/>
          <w:szCs w:val="160"/>
          <w:rtl w:val="1"/>
        </w:rPr>
        <w:t xml:space="preserve">، </w:t>
      </w:r>
      <w:r w:rsidDel="00000000" w:rsidR="00000000" w:rsidRPr="00000000">
        <w:rPr>
          <w:sz w:val="160"/>
          <w:szCs w:val="160"/>
          <w:rtl w:val="1"/>
        </w:rPr>
        <w:t xml:space="preserve">عند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توفرها</w:t>
      </w:r>
      <w:r w:rsidDel="00000000" w:rsidR="00000000" w:rsidRPr="00000000">
        <w:rPr>
          <w:sz w:val="160"/>
          <w:szCs w:val="160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72"/>
          <w:szCs w:val="7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>
          <w:sz w:val="160"/>
          <w:szCs w:val="160"/>
        </w:rPr>
      </w:pPr>
      <w:r w:rsidDel="00000000" w:rsidR="00000000" w:rsidRPr="00000000">
        <w:rPr>
          <w:sz w:val="160"/>
          <w:szCs w:val="160"/>
          <w:rtl w:val="1"/>
        </w:rPr>
        <w:t xml:space="preserve">إذا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تم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تعيين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جهة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تنسيق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للتواصل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معها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طوال</w:t>
      </w:r>
      <w:r w:rsidDel="00000000" w:rsidR="00000000" w:rsidRPr="00000000">
        <w:rPr>
          <w:sz w:val="160"/>
          <w:szCs w:val="160"/>
          <w:rtl w:val="1"/>
        </w:rPr>
        <w:t xml:space="preserve"> </w:t>
      </w:r>
      <w:r w:rsidDel="00000000" w:rsidR="00000000" w:rsidRPr="00000000">
        <w:rPr>
          <w:sz w:val="160"/>
          <w:szCs w:val="160"/>
          <w:rtl w:val="1"/>
        </w:rPr>
        <w:t xml:space="preserve">العملية</w:t>
      </w:r>
      <w:r w:rsidDel="00000000" w:rsidR="00000000" w:rsidRPr="00000000">
        <w:rPr>
          <w:sz w:val="160"/>
          <w:szCs w:val="160"/>
          <w:rtl w:val="1"/>
        </w:rPr>
        <w:t xml:space="preserve">.</w:t>
      </w:r>
    </w:p>
    <w:p w:rsidR="00000000" w:rsidDel="00000000" w:rsidP="00000000" w:rsidRDefault="00000000" w:rsidRPr="00000000" w14:paraId="00000020">
      <w:pPr>
        <w:rPr>
          <w:sz w:val="160"/>
          <w:szCs w:val="1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1"/>
        </w:rPr>
        <w:t xml:space="preserve">خدمات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الدعم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المتوفرة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لحالات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الاستغلال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الجنسي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والاعتداء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الجنسي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تلك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المنظمة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أو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أي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مكان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آخر</w:t>
      </w:r>
      <w:r w:rsidDel="00000000" w:rsidR="00000000" w:rsidRPr="00000000">
        <w:rPr>
          <w:sz w:val="96"/>
          <w:szCs w:val="96"/>
          <w:rtl w:val="1"/>
        </w:rPr>
        <w:t xml:space="preserve">، </w:t>
      </w:r>
      <w:r w:rsidDel="00000000" w:rsidR="00000000" w:rsidRPr="00000000">
        <w:rPr>
          <w:sz w:val="96"/>
          <w:szCs w:val="96"/>
          <w:rtl w:val="1"/>
        </w:rPr>
        <w:t xml:space="preserve">مثل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المساعدة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نقل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الناجية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لمكان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آخر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وغيرها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تدابير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الأمن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والسلامة</w:t>
      </w:r>
      <w:r w:rsidDel="00000000" w:rsidR="00000000" w:rsidRPr="00000000">
        <w:rPr>
          <w:sz w:val="96"/>
          <w:szCs w:val="96"/>
          <w:rtl w:val="1"/>
        </w:rPr>
        <w:t xml:space="preserve">.</w:t>
      </w:r>
    </w:p>
    <w:p w:rsidR="00000000" w:rsidDel="00000000" w:rsidP="00000000" w:rsidRDefault="00000000" w:rsidRPr="00000000" w14:paraId="00000022">
      <w:pPr>
        <w:rPr>
          <w:sz w:val="96"/>
          <w:szCs w:val="9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both"/>
        <w:rPr>
          <w:sz w:val="144"/>
          <w:szCs w:val="144"/>
        </w:rPr>
      </w:pPr>
      <w:r w:rsidDel="00000000" w:rsidR="00000000" w:rsidRPr="00000000">
        <w:rPr>
          <w:sz w:val="96"/>
          <w:szCs w:val="96"/>
          <w:rtl w:val="1"/>
        </w:rPr>
        <w:t xml:space="preserve">حق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الناجية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التوقف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عن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المشاركة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عملية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التحقيق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إذا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اختارت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ذلك</w:t>
      </w:r>
      <w:r w:rsidDel="00000000" w:rsidR="00000000" w:rsidRPr="00000000">
        <w:rPr>
          <w:sz w:val="96"/>
          <w:szCs w:val="96"/>
          <w:rtl w:val="1"/>
        </w:rPr>
        <w:t xml:space="preserve">، </w:t>
      </w:r>
      <w:r w:rsidDel="00000000" w:rsidR="00000000" w:rsidRPr="00000000">
        <w:rPr>
          <w:sz w:val="96"/>
          <w:szCs w:val="96"/>
          <w:rtl w:val="1"/>
        </w:rPr>
        <w:t xml:space="preserve">وكذلك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حقها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مواصلة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تلقي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الخدمات</w:t>
      </w:r>
      <w:r w:rsidDel="00000000" w:rsidR="00000000" w:rsidRPr="00000000">
        <w:rPr>
          <w:sz w:val="96"/>
          <w:szCs w:val="96"/>
          <w:rtl w:val="1"/>
        </w:rPr>
        <w:t xml:space="preserve">، </w:t>
      </w:r>
      <w:r w:rsidDel="00000000" w:rsidR="00000000" w:rsidRPr="00000000">
        <w:rPr>
          <w:sz w:val="96"/>
          <w:szCs w:val="96"/>
          <w:rtl w:val="1"/>
        </w:rPr>
        <w:t xml:space="preserve">بغض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النظر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عن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مشاركتها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في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عملية</w:t>
      </w:r>
      <w:r w:rsidDel="00000000" w:rsidR="00000000" w:rsidRPr="00000000">
        <w:rPr>
          <w:sz w:val="96"/>
          <w:szCs w:val="96"/>
          <w:rtl w:val="1"/>
        </w:rPr>
        <w:t xml:space="preserve"> </w:t>
      </w:r>
      <w:r w:rsidDel="00000000" w:rsidR="00000000" w:rsidRPr="00000000">
        <w:rPr>
          <w:sz w:val="96"/>
          <w:szCs w:val="96"/>
          <w:rtl w:val="1"/>
        </w:rPr>
        <w:t xml:space="preserve">التحقيق</w:t>
      </w:r>
      <w:r w:rsidDel="00000000" w:rsidR="00000000" w:rsidRPr="00000000">
        <w:rPr>
          <w:sz w:val="96"/>
          <w:szCs w:val="9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QkZrHBGxem6OhTzLzzUXK4K0qw==">CgMxLjAyCGguZ2pkZ3hzMgloLjMwajB6bGw4AHIhMWdHaGVhM1cwMUR5WlpFenV5Zm9ha3hjTDBlTFd3QXlM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2023-12-20T14:13:00Z</dcterms:created>
  <dc:creator>home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46dc513172ce834d574a3d8dee68f8d4ac3244b5703ec1a0cba56a76721ddf62</vt:lpwstr>
  </property>
</Properties>
</file>